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Georgia;Times;Times New Roman;serif" w:hAnsi="Georgia;Times;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КАК СОХРАНИТЬ ЗДОРОВЬЕ НА ПРОИЗВОДСТВЕ В ВЫСОКОТЕХНОЛОГИЧНОМ МИРЕ</w:t>
      </w:r>
    </w:p>
    <w:p>
      <w:pPr>
        <w:pStyle w:val="Style16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Одна из основных задач профсоюзов — борьба за создание достойных условий труда. В это понятие входит и поддержание здоровья трудящихся, в том числе физического. А для этого нужно применять разные оздоровительные методы и практики. Об изменении подходов к сохранению здоровья в рабочей среде, новых факторах риска для работающих и эффективной пропаганде здорового образа жизни “Солидарность” беседовала со специалистами.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bookmarkStart w:id="0" w:name="more-4820"/>
      <w:bookmarkEnd w:id="0"/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РАНЬШЕ БЫЛО ЛУЧШЕ?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>“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В советское время о здоровье человека труда заботились на государственном уровне, разработкой программ занимались целые исследовательские институты”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— такие слова часто можно услышать, когда речь заходит об условиях труда и поддержании здоровья работников какого-либо предприятия.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Например, вспоминает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Виталий Негриенко,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много лет проработавший инструктором физкультуры и производственной гимнастики на предприятиях Ленинграда, </w:t>
      </w: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“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на каждом предприятии был инструктор по производственной гимнастике”.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Комплексы гимнастики разрабатывались с учетом специфики предприятия, велась так называемая профессионально-прикладная физическая подготовка. Допустим, для сталеваров рекомендовались одни упражнения и определенные виды спорта, например — гиревой. А радиоэлектронщикам рекомендовались другие, поскольку у них иные виды производственной нагрузки,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— вспоминает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Негриенко.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— 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Производственная гимнастика была неотъемлемой частью системы физического воспитания населения в СССР. Это было государственной политикой. На предприятиях производственная гимнастика была обязательна. Она проводилась раз или два в течение дня по 15 — 20 минут. Эта деятельность поддерживалась и государством, и профсоюзами. Проводились научные исследования о влиянии производственной гимнастики на производительность труда. Результаты показывали, что регулярное выполнение грамотно подобранных комплексов физических упражнений в течение рабочего дня дает рост производительности в 6 — 8%.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Но идеализировать советский период не стоит — на огромном количестве предприятий и во многих организациях должность инструктора по производственной гимнастике превратилась в синекуру, а сама гимнастика проводилась в лучшем случае “для галочки” и служила предметом шуток разной степени ядовитости.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Как бы то ни было, в 1991 году подобные программы и средства на их осуществление исчезли вместе с СССР — со всеми своими достоинствами и недостатками. Изменилось само отношение к здоровью в обществе.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НОВЫЙ МИР — НОВЫЕ ПРОБЛЕМЫ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 период российского “дикого капитализма” здоровье стало исключительно частным делом человека. Профсоюзы по мере сил пытались поддерживать оздоровительные программы, но в первую очередь внимания требовали другие горящие проблемы.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Со временем, правда, компании стали внедрять программы поддержки здоровья сотрудников и поощрять занятия спортом.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Сегодня корпоративный спорт, компенсация затрат на фитнес, полис ДМС, корпоративный психолог — часть социального пакета при трудоустройстве во многих крупных компаниях,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— говорит кандидат медицинских наук, спортивный врач, эксперт корпоративных оздоровительных программ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Александра Чистякова.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По ее словам, </w:t>
      </w: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“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для современного поколения работников, приходящих работать в банковскую или IT-сферу, наличие таких “плюшек” давно стало критерием выбора рабочего места при одинаковом стартовом предложении по зарплате”.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На государственном уровне тоже разрабатываются комплексные оздоровительные методики и программы поддержки здоровья трудоспособного населения. Например, этим занимается Российское федеральное медико-биологическое агентство (ФМБА). При участии его специалистов в 2017 году появилась корпоративная программа укрепления здоровья работников ГК “Росатом”. Она нацелена на пропаганду здорового образа жизни, комплексную коррекцию поведенческих факторов риска, снижение риска развития хронических неинфекционных заболеваний.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Подробнее об этом рассказала заведующая отделом охраны здоровья и социальной защиты трудящихся аппарата Российского профсоюза работников атомной энергетики и промышленности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Елена Марчук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: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Основные нормы и направления работы по поддержке здоровья сотрудников и безопасности труда указаны в нашем отраслевом соглашении. Но эффективно они действуют как раз в комплексе. Основной комплекс мер зафиксирован в Единой отраслевой социальной политике, утвержденной приказом госкорпорации, и корпоративных социальных программах, которые выступают приложениями к нему. Таких программ в Росатоме около десяти. Это и развитие санаторно-курортного лечения, и профилактические программы, и поддержка ДМС. Конечно, очень серьезную роль играет и пропаганда здорового образа жизни, поддержка спорта, чем активно занимается наш профсоюз. Эта работа обсуждается в рамках нашей рабочей группы. Ведь около 70% эффективной и долгой трудовой деятельности обеспечивает как раз здоровый образ жизни. Да, современная медицина на очень высоком уровне, но надеяться только на нее не стоит.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 этим можно только согласиться. Увы, пропаганда здорового образа жизни и внедрение на производстве сберегающих здоровье практик в рамках госпрограмм носят рекомендательный характер. Все зависит от доброй воли (и бюджета) работодателя, а также активности профсоюза. Между тем главный внештатный специалист ФМБА по медицинской профилактике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Татьяна Ходеева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предупреждает: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Рабочая среда часто не рассматривается или недооценивается с точки зрения возможности влияния на физическую активность. А ведь именно на рабочем месте взрослое население в основном проводит значительную часть дня, создавая идеальные условия для реализации поставленных задач.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>“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ВКАЛЫВАЮТ РОБОТЫ”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По мнению специалистов, активная пропаганда здорового образа жизни может решить многие проблемы, которые появились и в трудовой деятельности, и в жизни общества за последние 30 лет. Во многом они связаны с развитием высоких технологий, другим режимом двигательной активности и работы. Иными словами — сидячий образ жизни и погружение в гаджеты стали серьезной проблемой.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Татьяна Ходеева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отмечает: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В мире каждый пятый взрослый недостаточно активен, слишком многие ведут сидячий образ жизни. Это способствует развитию хронических неинфекционных заболеваний (ХНИЗ) и ухудшению здоровья населения в мире в целом. Недостаточная физическая активность считается четвертым из важнейших факторов риска, являющихся причинами смерти в глобальном масштабе.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При этом, добавляет специалист,</w:t>
      </w: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“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заболеваемость ХНИЗ высока среди лиц трудоспособного возраста и обусловлена поведенческими факторами риска, поэтому важна профилактика на рабочем месте”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. В числе таких заболеваний — артериальная гипертензия, ишемическая болезнь сердца, сахарный диабет, ишемический инсульт, некоторые злокачественные новообразования.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Главный внештатный специалист ФМБА России по организации службы промышленной медицины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Игорь Калинин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приводит такие данные: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Урон Российской Федерации от смертности в трудоспособном возрасте в абсолютных значениях за 2020 год составил 450 250 человек, при этом экономический урон — 3200 млрд рублей. Своевременное выявление и профилактика заболеваний позволяет предотвратить минимум 30% случаев, а это в абсолютных значениях 135 тыс. сохраненных жизней и 959,46 млрд рублей сохраненного ВВП.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Кроме того, отмечает в письме “Солидарности” директор научно-исследовательского института медицины труда имени академика Н.Ф. Измерова, доктор медицинских наук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Игорь Бухтияров,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</w:t>
      </w: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“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как в производственных, так и в непроизводственных сферах увеличивается вклад психосоциальных факторов в формирование перенапряжения, выгорания, и как следствие — развитие хронических заболеваний у работников”.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 зоне риска не только люди, занятые в традиционных областях производства, где вредные факторы хорошо изучены и активно действуют профсоюзы, но и работники новых экономических сфер.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Малоизученными остаются новые формы занятости: удаленная работа, временно удаленная работа, фриланс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— говорит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Бухтияров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и перечисляет факторы риска, связанные с такими режимами работы: плохая эргономика рабочего места, увеличение интенсивности и продолжительности работы, размытие границ между работой и личной жизнью, изоляция, гиподинамия, расстройства сна и пищевого поведения.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Надо сказать, что в ряде профорганизаций подход к вопросам здоровья меняется. Используются передовые практики и комплексы мер, нацеленные на профилактику профессионального выгорания, на оздоровление и просвещение работников в области физической культуры и здорового образа жизни.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С 2020 года мы ведем системную работу по оздоровлению членов нашего профсоюза,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— делится опытом куратор Всероссийского движения “Профсоюз — территория здоровья”, советник по физической культуре и спорту председателя Общероссийского профсоюза образования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Олег Меркулов.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</w:t>
      </w: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Она включает конкурсы, направленные на выявление действующих в профорганизациях практик по реализации физкультурно-оздоровительных инициатив; организацию научно-практических конференций по технологиям формирования культуры профессионального здоровья педагогических работников, курсов по способам разрешения конфликтов и поддержанию деловой коммуникации в коллективе, а также тренинг-лагерей для амбассадоров здоровья.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Мы отнюдь не ограничиваемся просветительскими мероприятиями,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— уточняет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Меркулов.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</w:t>
      </w: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В повестке нашей “Территории здоровья” представлены и события высокой двигательной активности — спартакиады, турслеты, велопробеги, акции по фоновой ходьбе и производственной гимнастике, а также иные спортивные состязания.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Большое внимание мы уделяем формированию культуры заботы о своем здоровье, а в этом деле мелочей не бывает, — подчеркивает специалист. — Поэтому рассматриваем эту работу как целостную систему, включающую умения управлять собой, выстраивать отношения в коллективе, управлять своим временем, преодолевать “зависимое поведение”. Также это обладание знаниями в областях питания и рациональной для каждого тренировки. Путь к оздоровлению организма тернист и долог, поэтому задача — направить членов нашего профсоюза по верной траектории, оказав посильную помощь на всех этапах работы каждого члена профсоюза над собой. Ведь эту работу заменить нельзя ничем.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Вариант отличный и не требующий огромного бюджета, но нужен компонент, без которого любая программа оздоровления провалится, — желание человека изменить свою жизнь.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>“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У МЕНЯ ВРАЗ ВСЕ СТАНУТ СЧАСТЛИВЫЕ”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 момента распада СССР отношение к здоровью изменилось не только на государственном уровне, но и на общественном. Здоровье стало личным делом человека, а основной “добродетелью” и мерилом успеха — уровень дохода. В обиход управленцев всех уровней прочно вошли понятия “стрессоустойчивость” и “многозадачность”, за которыми в 100% случаев скрывается необходимость работы на износ.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Такие изменения, считает ряд специалистов, не учитываются при разработке программ, сберегающих здоровье, что резко снижает их эффективность. Об этом говорит и ведущий специалист Федерального научного центра физической культуры и спорта (ФГБУ ФНЦ ВНИИФК), профессор Российского университета спорта “ГЦОЛИФК”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Владислав Столяров: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К сожалению, в большинстве случаев ценность занятий физкультурой и спортом сводят к возможности физического совершенствования. Конечно, часто вспоминают и об улучшении здоровья. Но достаточно ли этого для того, чтобы массово вовлечь людей?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Столяров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считает, что нет, и видит причину как раз в изменившемся отношении людей к своему здоровью: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Дело в том, какое место физическое здоровье занимает в системе ценностей человека. Увы, за последние десятилетия это место значительно снизилось. В большинстве случаев на первых местах не собственное здоровье и даже не жизнь, а возможность заработать деньги здесь и сейчас.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Напоминает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Столяров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и еще об одном вредном заблуждении: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0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rStyle w:val="Style10"/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28"/>
          <w:szCs w:val="28"/>
        </w:rPr>
        <w:t>Часто можно услышать: “Я на работе и так устаю”. Особенно если работа связана с физической нагрузкой. Но надо понимать, что эта нагрузка не имеет ничего общего с упражнениями, нацеленными на улучшение здоровья и его развитие. Играет роль и убежденность в том, что медицина решит все проблемы. Как говорится, “съем таблетку, полегчает”.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Налицо расхождение между декларируемой значимостью здоровья (подавляющее большинство ответит, что здоровье для них важно) и реальной его значимостью в жизни. А это, отмечает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Столяров,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говорит о малой готовности человека пойти на изменения и приложить существенные усилия для улучшения своего здоровья.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Значит, для реального повышения физкультурно-спортивной активности населения нужны новые подходы — изменение мотивации, вовлечение через демонстрацию экономической выгоды при здоровом образе жизни, переход от краткосрочных поощрений (награда или премия за участие в спортивном празднике) к долгосрочному поощрению активных занятий физкультурой и спортом.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Кроме того, недостаточно сводить ценность занятий физкультурой и спортом к физическому совершенствованию. Для многих гораздо важнее при этом отдохнуть, пообщаться с природой и другими людьми.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Наконец, считает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Столяров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необходимо коренным образом изменить подход к оценке эффективности физкультурно-спортивной работы с населением. На первом плане должны быть не количественные показатели физкультурно-спортивной активности (сколько людей вовлечено в занятия физкультурой и спортом, сколько проведено занятий), как сейчас, а качественные показатели — как физкультура и спорт реально влияют на здоровье, образ и качество жизни вовлеченных в эти занятия.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Ведь по-настоящему эффективными программы поддержки здоровья будут только тогда, когда человек осознает их выгоду и сможет сам поддерживать здоровый образ жизни.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>“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А”-СПРАВКА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Как поддержать здоровье: простые советы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Рекомендации, рассчитанные на работников различных типов организаций и предприятий, подготовили для “Солидарности” специалисты Федерального медико-биологического агентства России. Специалисты напоминают, что уровень и тип физических нагрузок стоит выбирать, учитывая специфику трудовой деятельности, возраст и состояние здоровья.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Офисным сотрудникам, административному персоналу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Регулярно делать паузы на разминку и растяжку для снятия напряжения мышц и улучшения кровообращения.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Организовывать рабочее пространство так, чтобы не затруднялись движения и чтобы не было неудобства в позе сидения.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По возможности использовать эргономичную мебель для обустройства рабочего места.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Регулярно выполнять упражнения для укрепления мышц спины и шеи, поскольку на них идет большая нагрузка при сидячей работе.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Делать перерывы в работе за компьютером (по 5 минут через каждые 30 — 40 минут работы) и выполнять упражнения для отдыха и восстановления зрения.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Работникам производственных отраслей, педагогам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Избегать длительного стояния или сидения в одной позе.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Использовать специальную обувь и другие средства, чтобы уменьшить нагрузку на ноги и спину.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Регулярно делать перерывы для упражнений по растяжке мышц, особое внимание уделять упражнениям, улучшающим кровообращение ног.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Сотрудникам, выполняющим физическую работу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Регулярно заниматься физическими упражнениями, способствующими укреплению мышц и повышению выносливости.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Соблюдать диету, которая обеспечивает достаточное количество калорий для выполнения физической работы.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До начала рабочего цикла и после его завершения выполнять упражнения для растяжки мышц, регулярно делать массаж.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Активный образ жизни и возраст: рекомендации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Специалисты Федерального медико-биологического агентства подготовили для “Солидарности” общие рекомендации для поддержания активного образа жизни в зависимости от возраста.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Детям и молодым людям от 5 до 17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рекомендуется уделять не меньше 60 минут в день умеренной либо активной физической нагрузке.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Взрослым старше 18 лет, в том числе в 65 лет и старше,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рекомендуется уделять в неделю не меньше 150 минут умеренной аэробной физической активности либо 75 минут интенсивной физической активности. Уровень интенсивности и конкретные упражнения необходимо выбирать в соответствии с состоянием здоровья. При необходимости посоветоваться с врачом. Взрослым старше 65 лет и людям с ограниченной подвижностью рекомендуется выполнять не менее трех раз в неделю упражнения для развития координации и устойчивости. В первую очередь уделять внимание упражнениям, снижающим риск внезапного падения. Даже при существенных двигательных ограничениях рекомендуется поддерживать оптимальную для состояния здоровья двигательную активность.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Основные документы, определяющие политику в области сохранения и поддержания здоровья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Стратегия развития здравоохранения в РФ на период до 2025 года” — основополагающий документ стратегического планирования, разработанный для обеспечения национальной безопасности РФ в сфере охраны здоровья граждан.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Для реализации положений Стратегии, утвержденной Указом президента РФ от 06.06.2019 № 254, издан Приказ Министерства здравоохранения РФ от 15.01.2020 № 8 “Об утверждении Стратегии формирования здорового образа жизни населения, профилактики и контроля неинфекционных заболеваний на период до 2025 года”.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 2017 по 2025 год проводится комплекс мероприятий популяционной профилактики: Приоритетный проект “Формирование здорового образа жизни”. Паспорт проекта утвержден Президиумом Совета при президенте РФ по стратегическому развитию и приоритетным проектам 26.07.2017.</w:t>
      </w:r>
    </w:p>
    <w:p>
      <w:pPr>
        <w:pStyle w:val="Style16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Georgia">
    <w:altName w:val="Time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LibreOffice/7.2.4.1$Linux_X86_64 LibreOffice_project/20$Build-1</Application>
  <AppVersion>15.0000</AppVersion>
  <Pages>7</Pages>
  <Words>2531</Words>
  <Characters>14906</Characters>
  <CharactersWithSpaces>17011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2023-08-15T08:50:10Z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